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A3" w:rsidRPr="00C744BB" w:rsidRDefault="002420A3" w:rsidP="002420A3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  <w:r w:rsidRPr="0062030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ВНИМАНИЮ </w:t>
      </w:r>
      <w:proofErr w:type="spellStart"/>
      <w:r w:rsidRPr="0062030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ПОТРЕБИТЕЛЯ</w:t>
      </w:r>
      <w:proofErr w:type="gramStart"/>
      <w:r w:rsidRPr="0062030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:</w:t>
      </w:r>
      <w:r w:rsidRPr="00C744B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Р</w:t>
      </w:r>
      <w:proofErr w:type="gramEnd"/>
      <w:r w:rsidRPr="00C744B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оссияне</w:t>
      </w:r>
      <w:proofErr w:type="spellEnd"/>
      <w:r w:rsidRPr="00C744B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активно переходят на дистанционное взаимодействие с финансовыми организациями</w:t>
      </w:r>
    </w:p>
    <w:p w:rsidR="002420A3" w:rsidRPr="00C744BB" w:rsidRDefault="002420A3" w:rsidP="002420A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744BB">
        <w:rPr>
          <w:rFonts w:ascii="Arial" w:eastAsia="Times New Roman" w:hAnsi="Arial" w:cs="Arial"/>
          <w:color w:val="000000"/>
          <w:sz w:val="23"/>
          <w:szCs w:val="23"/>
        </w:rPr>
        <w:t>В 2018 году более половины взрослого населения России (55,2%) пользовалось дистанционным доступом к банковским счетам, а в 2017 году доля таких граждан составляла 45,1%. Банк России провел очередной </w:t>
      </w:r>
      <w:proofErr w:type="spellStart"/>
      <w:r>
        <w:fldChar w:fldCharType="begin"/>
      </w:r>
      <w:r>
        <w:instrText>HYPERLINK "http://www.cbr.ru/finmarket/development/development_affor/" \l "a_79893file"</w:instrText>
      </w:r>
      <w:r>
        <w:fldChar w:fldCharType="separate"/>
      </w:r>
      <w:r w:rsidRPr="00827475">
        <w:rPr>
          <w:rFonts w:ascii="Arial" w:eastAsia="Times New Roman" w:hAnsi="Arial" w:cs="Arial"/>
          <w:sz w:val="23"/>
          <w:szCs w:val="23"/>
        </w:rPr>
        <w:t>замер</w:t>
      </w:r>
      <w:r>
        <w:fldChar w:fldCharType="end"/>
      </w:r>
      <w:r w:rsidRPr="00C744BB">
        <w:rPr>
          <w:rFonts w:ascii="Arial" w:eastAsia="Times New Roman" w:hAnsi="Arial" w:cs="Arial"/>
          <w:color w:val="000000"/>
          <w:sz w:val="23"/>
          <w:szCs w:val="23"/>
        </w:rPr>
        <w:t>индикаторов</w:t>
      </w:r>
      <w:proofErr w:type="spellEnd"/>
      <w:r w:rsidRPr="00C744BB">
        <w:rPr>
          <w:rFonts w:ascii="Arial" w:eastAsia="Times New Roman" w:hAnsi="Arial" w:cs="Arial"/>
          <w:color w:val="000000"/>
          <w:sz w:val="23"/>
          <w:szCs w:val="23"/>
        </w:rPr>
        <w:t xml:space="preserve"> финансовой доступности, отметив устойчивый рост использования населением дистанционных каналов доступа к финансовым услугам и безналичным расчетам.</w:t>
      </w:r>
    </w:p>
    <w:p w:rsidR="002420A3" w:rsidRPr="00C744BB" w:rsidRDefault="002420A3" w:rsidP="002420A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744BB">
        <w:rPr>
          <w:rFonts w:ascii="Arial" w:eastAsia="Times New Roman" w:hAnsi="Arial" w:cs="Arial"/>
          <w:color w:val="000000"/>
          <w:sz w:val="23"/>
          <w:szCs w:val="23"/>
        </w:rPr>
        <w:t>Регулятор проводит подобные замеры с 2015 года и ежегодно отмечает важную роль в повышении финансовой доступности в России развития дистанционных каналов доступа к финансовым услугам, а также увеличения скорости доступа к ним.</w:t>
      </w:r>
    </w:p>
    <w:p w:rsidR="002420A3" w:rsidRPr="00C744BB" w:rsidRDefault="002420A3" w:rsidP="002420A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744BB">
        <w:rPr>
          <w:rFonts w:ascii="Arial" w:eastAsia="Times New Roman" w:hAnsi="Arial" w:cs="Arial"/>
          <w:color w:val="000000"/>
          <w:sz w:val="23"/>
          <w:szCs w:val="23"/>
        </w:rPr>
        <w:t>О готовности начать регулярно пользоваться дистанционным доступом к финансовым услугам (при наличии такой возможности), как и в ходе прошлого замера, сообщили 42,8% взрослого населения из числа тех респондентов, которые не используют дистанционное обслуживание постоянно. При этом с 35,9 до 54,7% увеличилась доля населения, имеющего возможность мгновенно (в течение 15 минут) совершить перевод денежных сре</w:t>
      </w:r>
      <w:proofErr w:type="gramStart"/>
      <w:r w:rsidRPr="00C744BB">
        <w:rPr>
          <w:rFonts w:ascii="Arial" w:eastAsia="Times New Roman" w:hAnsi="Arial" w:cs="Arial"/>
          <w:color w:val="000000"/>
          <w:sz w:val="23"/>
          <w:szCs w:val="23"/>
        </w:rPr>
        <w:t>дств с п</w:t>
      </w:r>
      <w:proofErr w:type="gramEnd"/>
      <w:r w:rsidRPr="00C744BB">
        <w:rPr>
          <w:rFonts w:ascii="Arial" w:eastAsia="Times New Roman" w:hAnsi="Arial" w:cs="Arial"/>
          <w:color w:val="000000"/>
          <w:sz w:val="23"/>
          <w:szCs w:val="23"/>
        </w:rPr>
        <w:t>омощью мобильного телефона или с использованием спутниковой связи. На 8,2 п.п. (до 55,6%) выросла доля безналичных платежей (в том числе с использованием платежных карт) за товары (работы, услуги) в совокупном объеме розничной торговли, общественного питания и платных услуг населению. Количество действующих банков, оказывающих услуги по открытию второго и последующих счетов без явки клиента в офис, увеличилось за 2018 год с 78 до 105.</w:t>
      </w:r>
    </w:p>
    <w:p w:rsidR="002420A3" w:rsidRPr="00C744BB" w:rsidRDefault="002420A3" w:rsidP="002420A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744BB">
        <w:rPr>
          <w:rFonts w:ascii="Arial" w:eastAsia="Times New Roman" w:hAnsi="Arial" w:cs="Arial"/>
          <w:color w:val="000000"/>
          <w:sz w:val="23"/>
          <w:szCs w:val="23"/>
        </w:rPr>
        <w:t xml:space="preserve">При этом в 2018 году отмечено сокращение количества подразделений действующих кредитных организаций – с 35 494 до 31 752 единиц. </w:t>
      </w:r>
      <w:proofErr w:type="gramStart"/>
      <w:r w:rsidRPr="00C744BB">
        <w:rPr>
          <w:rFonts w:ascii="Arial" w:eastAsia="Times New Roman" w:hAnsi="Arial" w:cs="Arial"/>
          <w:color w:val="000000"/>
          <w:sz w:val="23"/>
          <w:szCs w:val="23"/>
        </w:rPr>
        <w:t>И если в предыдущие годы снижение данного показателя происходило из года в год все меньшими темпами (11,9% в 2015 году, 8,7% в 2016 году и 3,4% в 2017 году), то в 2018 году темп снижения усилился и составил 10,5%. Тенденция к сокращению традиционных форматов банковских подразделений соответствует общемировой практике и связана в первую очередь с развитием современных дистанционных способов обслуживания</w:t>
      </w:r>
      <w:proofErr w:type="gramEnd"/>
      <w:r w:rsidRPr="00C744BB">
        <w:rPr>
          <w:rFonts w:ascii="Arial" w:eastAsia="Times New Roman" w:hAnsi="Arial" w:cs="Arial"/>
          <w:color w:val="000000"/>
          <w:sz w:val="23"/>
          <w:szCs w:val="23"/>
        </w:rPr>
        <w:t xml:space="preserve"> клиентов. Данная практика в полной мере оправдывает себя в городах и крупных населенных пунктах. Однако в сельской местности, на отдаленных, малонаселенных и труднодоступных территориях с недостаточно развитой информационно-коммуникационной инфраструктурой такой подход не обеспечивает необходимый уровень доступности финансовых услуг, в </w:t>
      </w:r>
      <w:proofErr w:type="gramStart"/>
      <w:r w:rsidRPr="00C744BB">
        <w:rPr>
          <w:rFonts w:ascii="Arial" w:eastAsia="Times New Roman" w:hAnsi="Arial" w:cs="Arial"/>
          <w:color w:val="000000"/>
          <w:sz w:val="23"/>
          <w:szCs w:val="23"/>
        </w:rPr>
        <w:t>связи</w:t>
      </w:r>
      <w:proofErr w:type="gramEnd"/>
      <w:r w:rsidRPr="00C744BB">
        <w:rPr>
          <w:rFonts w:ascii="Arial" w:eastAsia="Times New Roman" w:hAnsi="Arial" w:cs="Arial"/>
          <w:color w:val="000000"/>
          <w:sz w:val="23"/>
          <w:szCs w:val="23"/>
        </w:rPr>
        <w:t xml:space="preserve"> с чем в 2018 году отдельные крупные кредитные организации, сокращая свое присутствие в российских городах, не закрывали подразделения в сельских населенных пунктах.</w:t>
      </w:r>
    </w:p>
    <w:p w:rsidR="002420A3" w:rsidRPr="00C744BB" w:rsidRDefault="002420A3" w:rsidP="002420A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744BB">
        <w:rPr>
          <w:rFonts w:ascii="Arial" w:eastAsia="Times New Roman" w:hAnsi="Arial" w:cs="Arial"/>
          <w:color w:val="000000"/>
          <w:sz w:val="23"/>
          <w:szCs w:val="23"/>
        </w:rPr>
        <w:t xml:space="preserve">Помимо этого, банки использовали новый формат, отличающийся от традиционных филиалов и внутренних структурных подразделений. Согласно результатам впервые проведенного Банком России специального сплошного обследования кредитных организаций, всего в России на 31 декабря 2018 года насчитывалось более 27 тыс. удаленных точек обслуживания с работниками кредитных организаций и более 196 тыс. удаленных точек обслуживания с их агентами (без учета касс банковских платежных агентов). Также по состоянию </w:t>
      </w:r>
      <w:proofErr w:type="gramStart"/>
      <w:r w:rsidRPr="00C744BB">
        <w:rPr>
          <w:rFonts w:ascii="Arial" w:eastAsia="Times New Roman" w:hAnsi="Arial" w:cs="Arial"/>
          <w:color w:val="000000"/>
          <w:sz w:val="23"/>
          <w:szCs w:val="23"/>
        </w:rPr>
        <w:t>на конец</w:t>
      </w:r>
      <w:proofErr w:type="gramEnd"/>
      <w:r w:rsidRPr="00C744BB">
        <w:rPr>
          <w:rFonts w:ascii="Arial" w:eastAsia="Times New Roman" w:hAnsi="Arial" w:cs="Arial"/>
          <w:color w:val="000000"/>
          <w:sz w:val="23"/>
          <w:szCs w:val="23"/>
        </w:rPr>
        <w:t xml:space="preserve"> 2018 года отдельные банковские операции по совершению переводов, снятию и внесению наличных были возможны более чем в 30 тыс. отделений почтовой связи (темп прироста за год – 103,9%), что составляло примерно 75% всех действующих почтовых отделений. В 15 тыс. отделений при этом также возможен прием документов на открытие счета (темп прироста за год – 47,6%).</w:t>
      </w:r>
    </w:p>
    <w:p w:rsidR="002420A3" w:rsidRPr="00C744BB" w:rsidRDefault="002420A3" w:rsidP="002420A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744BB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При анализе качества обслуживания в финансовых организациях в исследовании отмечается рост на 8,2 п.п. (с 65,0 до 73,2%) доли взрослого населения, считающего, что при оформлении кредита/займа за последние 12 месяцев им была предоставлена достоверная, понятная и достаточная информация о продукте. За год на 1,3 п.п. (с 26,8 до 28,1%) увеличилась доля взрослого населения, имеющего активные кредиты/займы в кредитных или </w:t>
      </w:r>
      <w:proofErr w:type="spellStart"/>
      <w:r w:rsidRPr="00C744BB">
        <w:rPr>
          <w:rFonts w:ascii="Arial" w:eastAsia="Times New Roman" w:hAnsi="Arial" w:cs="Arial"/>
          <w:color w:val="000000"/>
          <w:sz w:val="23"/>
          <w:szCs w:val="23"/>
        </w:rPr>
        <w:t>некредитных</w:t>
      </w:r>
      <w:proofErr w:type="spellEnd"/>
      <w:r w:rsidRPr="00C744BB">
        <w:rPr>
          <w:rFonts w:ascii="Arial" w:eastAsia="Times New Roman" w:hAnsi="Arial" w:cs="Arial"/>
          <w:color w:val="000000"/>
          <w:sz w:val="23"/>
          <w:szCs w:val="23"/>
        </w:rPr>
        <w:t xml:space="preserve"> финансовых организациях (НФО), при темпе прироста задолженности по основному долгу в указанных типах организаций 22,5% (с 12 342 </w:t>
      </w:r>
      <w:proofErr w:type="spellStart"/>
      <w:proofErr w:type="gramStart"/>
      <w:r w:rsidRPr="00C744BB">
        <w:rPr>
          <w:rFonts w:ascii="Arial" w:eastAsia="Times New Roman" w:hAnsi="Arial" w:cs="Arial"/>
          <w:color w:val="000000"/>
          <w:sz w:val="23"/>
          <w:szCs w:val="23"/>
        </w:rPr>
        <w:t>млрд</w:t>
      </w:r>
      <w:proofErr w:type="spellEnd"/>
      <w:proofErr w:type="gramEnd"/>
      <w:r w:rsidRPr="00C744BB">
        <w:rPr>
          <w:rFonts w:ascii="Arial" w:eastAsia="Times New Roman" w:hAnsi="Arial" w:cs="Arial"/>
          <w:color w:val="000000"/>
          <w:sz w:val="23"/>
          <w:szCs w:val="23"/>
        </w:rPr>
        <w:t xml:space="preserve"> до 15 114 </w:t>
      </w:r>
      <w:proofErr w:type="spellStart"/>
      <w:r w:rsidRPr="00C744BB">
        <w:rPr>
          <w:rFonts w:ascii="Arial" w:eastAsia="Times New Roman" w:hAnsi="Arial" w:cs="Arial"/>
          <w:color w:val="000000"/>
          <w:sz w:val="23"/>
          <w:szCs w:val="23"/>
        </w:rPr>
        <w:t>млрд</w:t>
      </w:r>
      <w:proofErr w:type="spellEnd"/>
      <w:r w:rsidRPr="00C744BB">
        <w:rPr>
          <w:rFonts w:ascii="Arial" w:eastAsia="Times New Roman" w:hAnsi="Arial" w:cs="Arial"/>
          <w:color w:val="000000"/>
          <w:sz w:val="23"/>
          <w:szCs w:val="23"/>
        </w:rPr>
        <w:t xml:space="preserve"> рублей). При этом на 10,5% (с 849 </w:t>
      </w:r>
      <w:proofErr w:type="spellStart"/>
      <w:proofErr w:type="gramStart"/>
      <w:r w:rsidRPr="00C744BB">
        <w:rPr>
          <w:rFonts w:ascii="Arial" w:eastAsia="Times New Roman" w:hAnsi="Arial" w:cs="Arial"/>
          <w:color w:val="000000"/>
          <w:sz w:val="23"/>
          <w:szCs w:val="23"/>
        </w:rPr>
        <w:t>млрд</w:t>
      </w:r>
      <w:proofErr w:type="spellEnd"/>
      <w:proofErr w:type="gramEnd"/>
      <w:r w:rsidRPr="00C744BB">
        <w:rPr>
          <w:rFonts w:ascii="Arial" w:eastAsia="Times New Roman" w:hAnsi="Arial" w:cs="Arial"/>
          <w:color w:val="000000"/>
          <w:sz w:val="23"/>
          <w:szCs w:val="23"/>
        </w:rPr>
        <w:t xml:space="preserve"> до 760 </w:t>
      </w:r>
      <w:proofErr w:type="spellStart"/>
      <w:r w:rsidRPr="00C744BB">
        <w:rPr>
          <w:rFonts w:ascii="Arial" w:eastAsia="Times New Roman" w:hAnsi="Arial" w:cs="Arial"/>
          <w:color w:val="000000"/>
          <w:sz w:val="23"/>
          <w:szCs w:val="23"/>
        </w:rPr>
        <w:t>млрд</w:t>
      </w:r>
      <w:proofErr w:type="spellEnd"/>
      <w:r w:rsidRPr="00C744BB">
        <w:rPr>
          <w:rFonts w:ascii="Arial" w:eastAsia="Times New Roman" w:hAnsi="Arial" w:cs="Arial"/>
          <w:color w:val="000000"/>
          <w:sz w:val="23"/>
          <w:szCs w:val="23"/>
        </w:rPr>
        <w:t xml:space="preserve"> рублей) снизилась просроченная задолженность физических лиц перед кредитными организациями.</w:t>
      </w:r>
    </w:p>
    <w:p w:rsidR="002420A3" w:rsidRPr="00C744BB" w:rsidRDefault="002420A3" w:rsidP="002420A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744BB">
        <w:rPr>
          <w:rFonts w:ascii="Arial" w:eastAsia="Times New Roman" w:hAnsi="Arial" w:cs="Arial"/>
          <w:color w:val="000000"/>
          <w:sz w:val="23"/>
          <w:szCs w:val="23"/>
        </w:rPr>
        <w:t xml:space="preserve">В 2018 году доля субъектов МСП, имеющих активные кредиты/займы в кредитных или </w:t>
      </w:r>
      <w:proofErr w:type="spellStart"/>
      <w:r w:rsidRPr="00C744BB">
        <w:rPr>
          <w:rFonts w:ascii="Arial" w:eastAsia="Times New Roman" w:hAnsi="Arial" w:cs="Arial"/>
          <w:color w:val="000000"/>
          <w:sz w:val="23"/>
          <w:szCs w:val="23"/>
        </w:rPr>
        <w:t>некредитных</w:t>
      </w:r>
      <w:proofErr w:type="spellEnd"/>
      <w:r w:rsidRPr="00C744BB">
        <w:rPr>
          <w:rFonts w:ascii="Arial" w:eastAsia="Times New Roman" w:hAnsi="Arial" w:cs="Arial"/>
          <w:color w:val="000000"/>
          <w:sz w:val="23"/>
          <w:szCs w:val="23"/>
        </w:rPr>
        <w:t xml:space="preserve"> финансовых организациях, по сравнению с 2017 годом выросла на 7 п.п. (с 18,4 до 25,4%) при темпе прироста объема кредитов/займов равном 11,4% (с 6151 </w:t>
      </w:r>
      <w:proofErr w:type="spellStart"/>
      <w:proofErr w:type="gramStart"/>
      <w:r w:rsidRPr="00C744BB">
        <w:rPr>
          <w:rFonts w:ascii="Arial" w:eastAsia="Times New Roman" w:hAnsi="Arial" w:cs="Arial"/>
          <w:color w:val="000000"/>
          <w:sz w:val="23"/>
          <w:szCs w:val="23"/>
        </w:rPr>
        <w:t>млрд</w:t>
      </w:r>
      <w:proofErr w:type="spellEnd"/>
      <w:proofErr w:type="gramEnd"/>
      <w:r w:rsidRPr="00C744BB">
        <w:rPr>
          <w:rFonts w:ascii="Arial" w:eastAsia="Times New Roman" w:hAnsi="Arial" w:cs="Arial"/>
          <w:color w:val="000000"/>
          <w:sz w:val="23"/>
          <w:szCs w:val="23"/>
        </w:rPr>
        <w:t xml:space="preserve"> до 6855 </w:t>
      </w:r>
      <w:proofErr w:type="spellStart"/>
      <w:r w:rsidRPr="00C744BB">
        <w:rPr>
          <w:rFonts w:ascii="Arial" w:eastAsia="Times New Roman" w:hAnsi="Arial" w:cs="Arial"/>
          <w:color w:val="000000"/>
          <w:sz w:val="23"/>
          <w:szCs w:val="23"/>
        </w:rPr>
        <w:t>млрд</w:t>
      </w:r>
      <w:proofErr w:type="spellEnd"/>
      <w:r w:rsidRPr="00C744BB">
        <w:rPr>
          <w:rFonts w:ascii="Arial" w:eastAsia="Times New Roman" w:hAnsi="Arial" w:cs="Arial"/>
          <w:color w:val="000000"/>
          <w:sz w:val="23"/>
          <w:szCs w:val="23"/>
        </w:rPr>
        <w:t xml:space="preserve"> рублей) и задолженности по основному долгу 1,1% (с 4209 </w:t>
      </w:r>
      <w:proofErr w:type="spellStart"/>
      <w:r w:rsidRPr="00C744BB">
        <w:rPr>
          <w:rFonts w:ascii="Arial" w:eastAsia="Times New Roman" w:hAnsi="Arial" w:cs="Arial"/>
          <w:color w:val="000000"/>
          <w:sz w:val="23"/>
          <w:szCs w:val="23"/>
        </w:rPr>
        <w:t>млрд</w:t>
      </w:r>
      <w:proofErr w:type="spellEnd"/>
      <w:r w:rsidRPr="00C744BB">
        <w:rPr>
          <w:rFonts w:ascii="Arial" w:eastAsia="Times New Roman" w:hAnsi="Arial" w:cs="Arial"/>
          <w:color w:val="000000"/>
          <w:sz w:val="23"/>
          <w:szCs w:val="23"/>
        </w:rPr>
        <w:t xml:space="preserve"> до 4257 </w:t>
      </w:r>
      <w:proofErr w:type="spellStart"/>
      <w:r w:rsidRPr="00C744BB">
        <w:rPr>
          <w:rFonts w:ascii="Arial" w:eastAsia="Times New Roman" w:hAnsi="Arial" w:cs="Arial"/>
          <w:color w:val="000000"/>
          <w:sz w:val="23"/>
          <w:szCs w:val="23"/>
        </w:rPr>
        <w:t>млрд</w:t>
      </w:r>
      <w:proofErr w:type="spellEnd"/>
      <w:r w:rsidRPr="00C744BB">
        <w:rPr>
          <w:rFonts w:ascii="Arial" w:eastAsia="Times New Roman" w:hAnsi="Arial" w:cs="Arial"/>
          <w:color w:val="000000"/>
          <w:sz w:val="23"/>
          <w:szCs w:val="23"/>
        </w:rPr>
        <w:t xml:space="preserve"> рублей).</w:t>
      </w:r>
    </w:p>
    <w:p w:rsidR="002420A3" w:rsidRDefault="002420A3" w:rsidP="002420A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744BB">
        <w:rPr>
          <w:rFonts w:ascii="Arial" w:eastAsia="Times New Roman" w:hAnsi="Arial" w:cs="Arial"/>
          <w:color w:val="000000"/>
          <w:sz w:val="23"/>
          <w:szCs w:val="23"/>
        </w:rPr>
        <w:t xml:space="preserve">Размер задолженности МСП по банковским кредитам впервые с 2014 года показал рост по итогам года, а объем выданных в 2018 году кредитов стал максимальным с 2015 года. </w:t>
      </w:r>
      <w:proofErr w:type="gramStart"/>
      <w:r w:rsidRPr="00C744BB">
        <w:rPr>
          <w:rFonts w:ascii="Arial" w:eastAsia="Times New Roman" w:hAnsi="Arial" w:cs="Arial"/>
          <w:color w:val="000000"/>
          <w:sz w:val="23"/>
          <w:szCs w:val="23"/>
        </w:rPr>
        <w:t>Поддержку рынку оказало существенное снижение процентных ставок по кредитам МСП в 2018 году: средневзвешенные ставки по кредитам МСП на срок до 1 года снизились на 1,32 п.п. (с 12,46% в январе 2018 года до 11,14% в январе 2019 года), а ставки свыше 1 года – на 0,49 п.п. (с 11,28 до 10,79% соответственно).</w:t>
      </w:r>
      <w:proofErr w:type="gramEnd"/>
      <w:r w:rsidRPr="00C744BB">
        <w:rPr>
          <w:rFonts w:ascii="Arial" w:eastAsia="Times New Roman" w:hAnsi="Arial" w:cs="Arial"/>
          <w:color w:val="000000"/>
          <w:sz w:val="23"/>
          <w:szCs w:val="23"/>
        </w:rPr>
        <w:t xml:space="preserve"> В свою очередь, просроченная задолженность субъектов МСП перед банками снизилась на 16,2% (с 622,7 </w:t>
      </w:r>
      <w:proofErr w:type="spellStart"/>
      <w:proofErr w:type="gramStart"/>
      <w:r w:rsidRPr="00C744BB">
        <w:rPr>
          <w:rFonts w:ascii="Arial" w:eastAsia="Times New Roman" w:hAnsi="Arial" w:cs="Arial"/>
          <w:color w:val="000000"/>
          <w:sz w:val="23"/>
          <w:szCs w:val="23"/>
        </w:rPr>
        <w:t>млрд</w:t>
      </w:r>
      <w:proofErr w:type="spellEnd"/>
      <w:proofErr w:type="gramEnd"/>
      <w:r w:rsidRPr="00C744BB">
        <w:rPr>
          <w:rFonts w:ascii="Arial" w:eastAsia="Times New Roman" w:hAnsi="Arial" w:cs="Arial"/>
          <w:color w:val="000000"/>
          <w:sz w:val="23"/>
          <w:szCs w:val="23"/>
        </w:rPr>
        <w:t xml:space="preserve"> до 521,8 </w:t>
      </w:r>
      <w:proofErr w:type="spellStart"/>
      <w:r w:rsidRPr="00C744BB">
        <w:rPr>
          <w:rFonts w:ascii="Arial" w:eastAsia="Times New Roman" w:hAnsi="Arial" w:cs="Arial"/>
          <w:color w:val="000000"/>
          <w:sz w:val="23"/>
          <w:szCs w:val="23"/>
        </w:rPr>
        <w:t>млрд</w:t>
      </w:r>
      <w:proofErr w:type="spellEnd"/>
      <w:r w:rsidRPr="00C744BB">
        <w:rPr>
          <w:rFonts w:ascii="Arial" w:eastAsia="Times New Roman" w:hAnsi="Arial" w:cs="Arial"/>
          <w:color w:val="000000"/>
          <w:sz w:val="23"/>
          <w:szCs w:val="23"/>
        </w:rPr>
        <w:t xml:space="preserve"> рублей).</w:t>
      </w:r>
    </w:p>
    <w:p w:rsidR="002420A3" w:rsidRPr="00C744BB" w:rsidRDefault="002420A3" w:rsidP="002420A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73E04">
        <w:rPr>
          <w:rFonts w:ascii="Arial" w:eastAsia="Times New Roman" w:hAnsi="Arial" w:cs="Arial"/>
          <w:color w:val="000000"/>
          <w:sz w:val="23"/>
          <w:szCs w:val="23"/>
        </w:rPr>
        <w:t>http://souz-potrebiteley.ru/main/news/</w:t>
      </w:r>
    </w:p>
    <w:p w:rsidR="002420A3" w:rsidRDefault="002420A3" w:rsidP="002420A3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br w:type="page"/>
      </w:r>
    </w:p>
    <w:p w:rsidR="002420A3" w:rsidRPr="00C744BB" w:rsidRDefault="002420A3" w:rsidP="002420A3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  <w:r w:rsidRPr="0062030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lastRenderedPageBreak/>
        <w:t xml:space="preserve">ВНИМАНИЮ </w:t>
      </w:r>
      <w:proofErr w:type="spellStart"/>
      <w:r w:rsidRPr="0062030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ПОТРЕБИТЕЛЯ</w:t>
      </w:r>
      <w:proofErr w:type="gramStart"/>
      <w:r w:rsidRPr="0062030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:</w:t>
      </w:r>
      <w:r w:rsidRPr="00C744B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П</w:t>
      </w:r>
      <w:proofErr w:type="gramEnd"/>
      <w:r w:rsidRPr="00C744B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отребительские</w:t>
      </w:r>
      <w:proofErr w:type="spellEnd"/>
      <w:r w:rsidRPr="00C744B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ожидания в России в III квартале 2019 года</w:t>
      </w:r>
    </w:p>
    <w:p w:rsidR="002420A3" w:rsidRPr="00C744BB" w:rsidRDefault="002420A3" w:rsidP="002420A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744BB">
        <w:rPr>
          <w:rFonts w:ascii="Arial" w:eastAsia="Times New Roman" w:hAnsi="Arial" w:cs="Arial"/>
          <w:color w:val="000000"/>
          <w:sz w:val="23"/>
          <w:szCs w:val="23"/>
        </w:rPr>
        <w:t>Росстат представляет итоги выборочного обследования потребительских ожиданий населения за III квартал 2019 года.</w:t>
      </w:r>
    </w:p>
    <w:tbl>
      <w:tblPr>
        <w:tblW w:w="98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563"/>
        <w:gridCol w:w="138"/>
        <w:gridCol w:w="139"/>
      </w:tblGrid>
      <w:tr w:rsidR="002420A3" w:rsidRPr="00C744BB" w:rsidTr="00340583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0A3" w:rsidRPr="00C744BB" w:rsidRDefault="002420A3" w:rsidP="003405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2420A3" w:rsidRPr="00C744BB" w:rsidTr="00340583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0A3" w:rsidRPr="00C744BB" w:rsidRDefault="002420A3" w:rsidP="00340583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Индекс потребительской уверенности, отражающий совокупные потребительские ожидания населения, в III квартале 2019 г. по сравнению со II кварталом 2019 г. возрос на 2 процентных пункта и составил (-13%).</w:t>
            </w:r>
          </w:p>
        </w:tc>
      </w:tr>
      <w:tr w:rsidR="002420A3" w:rsidRPr="00C744BB" w:rsidTr="00340583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0A3" w:rsidRPr="00C744BB" w:rsidRDefault="002420A3" w:rsidP="003405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2420A3" w:rsidRPr="00C744BB" w:rsidTr="00340583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0A3" w:rsidRPr="00C744BB" w:rsidRDefault="002420A3" w:rsidP="00340583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Индекс ожидаемых изменений экономической ситуации в России на краткосрочную перспективу повысился с (-10%) во II квартале 2019 года до (-9%) в III квартале 2019 года.</w:t>
            </w:r>
          </w:p>
        </w:tc>
      </w:tr>
      <w:tr w:rsidR="002420A3" w:rsidRPr="00C744BB" w:rsidTr="00340583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0A3" w:rsidRPr="00C744BB" w:rsidRDefault="002420A3" w:rsidP="00340583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Доля респондентов, положительно оценивающих  изменения в экономике России в течение следующих 12-ти месяцев, в III квартале 2019 г. по сравнению со II кварталом 2019 г. увеличилась на 1 процентный пункт и составила 16% (во II квартале 2019 г. – 15%). Доля негативных оценок уменьшилась до 28% (во II квартале 2019 г. – 29%). Доля респондентов, считающих, что экономическая ситуация в России останется прежней, возросла до 54% (во II квартале 2019 г. – 52%).</w:t>
            </w:r>
          </w:p>
        </w:tc>
      </w:tr>
      <w:tr w:rsidR="002420A3" w:rsidRPr="00C744BB" w:rsidTr="00340583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0A3" w:rsidRPr="00C744BB" w:rsidRDefault="002420A3" w:rsidP="00340583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Индекс произошедших изменений в экономике России</w:t>
            </w:r>
            <w:r w:rsidRPr="00C744BB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</w:rPr>
              <w:t> </w:t>
            </w: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увеличился на 3 процентных пункта и составил (-16%) против (-19%) во II квартале 2019 года.</w:t>
            </w:r>
          </w:p>
        </w:tc>
      </w:tr>
      <w:tr w:rsidR="002420A3" w:rsidRPr="00C744BB" w:rsidTr="00340583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0A3" w:rsidRPr="00C744BB" w:rsidRDefault="002420A3" w:rsidP="00340583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Доля респондентов, положительно оценивающих произошедшие изменения в экономической ситуации, по сравнению со II кварталом 2019 г. не изменилась и составила 12%. Доля отрицательных оценок снизилась до 39%  против 42% во II квартале 2019 года. Доля нейтральных оценок увеличилась до 49% (во II квартале</w:t>
            </w: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 2019 г. – 46%).</w:t>
            </w:r>
          </w:p>
        </w:tc>
      </w:tr>
      <w:tr w:rsidR="002420A3" w:rsidRPr="00C744BB" w:rsidTr="00340583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0A3" w:rsidRPr="00C744BB" w:rsidRDefault="002420A3" w:rsidP="00340583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44B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Индекс ожидаемых изменений в личном материальном положении</w:t>
            </w: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в III квартале 2019 г. возрос на 1 процентный пункт и составил (-5%) против (-6%) во II квартале 2019 года.</w:t>
            </w:r>
          </w:p>
        </w:tc>
      </w:tr>
      <w:tr w:rsidR="002420A3" w:rsidRPr="00C744BB" w:rsidTr="00340583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0A3" w:rsidRPr="00C744BB" w:rsidRDefault="002420A3" w:rsidP="00340583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Доля респондентов, ожидающих ухудшения своего материального положения в течение следующих 12-ти месяцев, по сравнению со II кварталом 2019 г. снизилась до 18% против 19% во II квартале 2019 года. Доля нейтральных оценок возросла до 68% (во II квартале 2019 г. – 67%).</w:t>
            </w:r>
          </w:p>
        </w:tc>
      </w:tr>
      <w:tr w:rsidR="002420A3" w:rsidRPr="00C744BB" w:rsidTr="00340583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0A3" w:rsidRPr="00C744BB" w:rsidRDefault="002420A3" w:rsidP="00340583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44B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Индекс произошедших изменений в личном материальном положении</w:t>
            </w: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возрос на 2 процентных пункта и составил (-10%) против (-12%) во II квартале 2019 года.  </w:t>
            </w:r>
          </w:p>
        </w:tc>
      </w:tr>
      <w:tr w:rsidR="002420A3" w:rsidRPr="00C744BB" w:rsidTr="00340583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0A3" w:rsidRPr="00C744BB" w:rsidRDefault="002420A3" w:rsidP="00340583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Доля респондентов, положительно оценивающих изменения в своем материальном положении в течение года, в III квартале 2019 г. по сравнению со II кварталом 2019 г. уменьшилась на 1 процентный пункт и составила 10%. Доля отрицательных оценок уменьшилась до 27% (во II квартале 2019 г. – 32%). Доля нейтральных оценок возросла до62% (в</w:t>
            </w:r>
            <w:r w:rsidRPr="00C744BB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о</w:t>
            </w: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II квартале 2019 г. – 56%).</w:t>
            </w:r>
          </w:p>
        </w:tc>
      </w:tr>
      <w:tr w:rsidR="002420A3" w:rsidRPr="00C744BB" w:rsidTr="00340583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0A3" w:rsidRPr="00C744BB" w:rsidRDefault="002420A3" w:rsidP="003405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2420A3" w:rsidRPr="00C744BB" w:rsidTr="00340583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0A3" w:rsidRPr="00C744BB" w:rsidRDefault="002420A3" w:rsidP="00340583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44B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Индекс благоприятности условий для крупных покупок</w:t>
            </w: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повысился на 1 процентный пункт и составил (-25%) против (-26%) во II квартале 2019 года. </w:t>
            </w:r>
            <w:r w:rsidRPr="00C744B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Индекс благоприятности условий для сбережений</w:t>
            </w: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возрос на 1 процентный пункт и составил (-35%) против (-36%) во II квартале 2019 года.</w:t>
            </w:r>
          </w:p>
        </w:tc>
      </w:tr>
      <w:tr w:rsidR="002420A3" w:rsidRPr="00C744BB" w:rsidTr="00340583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0A3" w:rsidRPr="00C744BB" w:rsidRDefault="002420A3" w:rsidP="00340583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2420A3" w:rsidRPr="00C744BB" w:rsidTr="00340583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0A3" w:rsidRPr="00C744BB" w:rsidRDefault="002420A3" w:rsidP="003405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2420A3" w:rsidRPr="00C744BB" w:rsidTr="00340583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0A3" w:rsidRPr="00C744BB" w:rsidRDefault="002420A3" w:rsidP="00340583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 </w:t>
            </w:r>
          </w:p>
        </w:tc>
      </w:tr>
      <w:tr w:rsidR="002420A3" w:rsidRPr="00C744BB" w:rsidTr="00340583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0A3" w:rsidRPr="00C744BB" w:rsidRDefault="002420A3" w:rsidP="00340583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Индекс потребительской уверенности по возрастным группам</w:t>
            </w:r>
          </w:p>
        </w:tc>
      </w:tr>
      <w:tr w:rsidR="002420A3" w:rsidRPr="00C744BB" w:rsidTr="00340583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0A3" w:rsidRPr="00C744BB" w:rsidRDefault="002420A3" w:rsidP="00340583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в процентах</w:t>
            </w:r>
          </w:p>
        </w:tc>
      </w:tr>
      <w:tr w:rsidR="002420A3" w:rsidRPr="00C744BB" w:rsidTr="00340583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0A3" w:rsidRPr="00C744BB" w:rsidRDefault="002420A3" w:rsidP="00340583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2420A3" w:rsidRPr="00C744BB" w:rsidTr="00340583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937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731"/>
              <w:gridCol w:w="1779"/>
              <w:gridCol w:w="1794"/>
              <w:gridCol w:w="2069"/>
            </w:tblGrid>
            <w:tr w:rsidR="002420A3" w:rsidRPr="00C744BB" w:rsidTr="00340583">
              <w:trPr>
                <w:trHeight w:val="258"/>
              </w:trPr>
              <w:tc>
                <w:tcPr>
                  <w:tcW w:w="37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77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</w:rPr>
                    <w:t>II квартал </w:t>
                  </w: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</w:rPr>
                    <w:br/>
                    <w:t>2019 г.</w:t>
                  </w:r>
                </w:p>
              </w:tc>
              <w:tc>
                <w:tcPr>
                  <w:tcW w:w="179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</w:rPr>
                    <w:t>III квартал </w:t>
                  </w: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</w:rPr>
                    <w:br/>
                    <w:t>2019 г.</w:t>
                  </w:r>
                </w:p>
              </w:tc>
              <w:tc>
                <w:tcPr>
                  <w:tcW w:w="20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</w:rPr>
                    <w:t>III квартал 2019 г. ко </w:t>
                  </w: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</w:rPr>
                    <w:br/>
                    <w:t>II кварталу 2019 г</w:t>
                  </w:r>
                  <w:proofErr w:type="gramStart"/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</w:rPr>
                    <w:t>. (+,-)</w:t>
                  </w:r>
                  <w:proofErr w:type="gramEnd"/>
                </w:p>
              </w:tc>
            </w:tr>
            <w:tr w:rsidR="002420A3" w:rsidRPr="00C744BB" w:rsidTr="00340583">
              <w:trPr>
                <w:trHeight w:val="258"/>
              </w:trPr>
              <w:tc>
                <w:tcPr>
                  <w:tcW w:w="37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Молодое поколение </w:t>
                  </w: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br/>
                    <w:t> (в возрасте от 16 до 29 лет)</w:t>
                  </w:r>
                </w:p>
              </w:tc>
              <w:tc>
                <w:tcPr>
                  <w:tcW w:w="177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-10</w:t>
                  </w:r>
                </w:p>
              </w:tc>
              <w:tc>
                <w:tcPr>
                  <w:tcW w:w="179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-7</w:t>
                  </w:r>
                </w:p>
              </w:tc>
              <w:tc>
                <w:tcPr>
                  <w:tcW w:w="20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+3</w:t>
                  </w:r>
                </w:p>
              </w:tc>
            </w:tr>
            <w:tr w:rsidR="002420A3" w:rsidRPr="00C744BB" w:rsidTr="00340583">
              <w:trPr>
                <w:trHeight w:val="258"/>
              </w:trPr>
              <w:tc>
                <w:tcPr>
                  <w:tcW w:w="37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Лица среднего  возраста </w:t>
                  </w: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br/>
                    <w:t> (от 30 до 49 лет)</w:t>
                  </w:r>
                </w:p>
              </w:tc>
              <w:tc>
                <w:tcPr>
                  <w:tcW w:w="177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-15</w:t>
                  </w:r>
                </w:p>
              </w:tc>
              <w:tc>
                <w:tcPr>
                  <w:tcW w:w="179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-12</w:t>
                  </w:r>
                </w:p>
              </w:tc>
              <w:tc>
                <w:tcPr>
                  <w:tcW w:w="20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+3</w:t>
                  </w:r>
                </w:p>
              </w:tc>
            </w:tr>
            <w:tr w:rsidR="002420A3" w:rsidRPr="00C744BB" w:rsidTr="00340583">
              <w:trPr>
                <w:trHeight w:val="258"/>
              </w:trPr>
              <w:tc>
                <w:tcPr>
                  <w:tcW w:w="37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Лица старшего возраста  </w:t>
                  </w: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br/>
                    <w:t> (50 лет и более)</w:t>
                  </w:r>
                </w:p>
              </w:tc>
              <w:tc>
                <w:tcPr>
                  <w:tcW w:w="177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-16</w:t>
                  </w:r>
                </w:p>
              </w:tc>
              <w:tc>
                <w:tcPr>
                  <w:tcW w:w="179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-15</w:t>
                  </w:r>
                </w:p>
              </w:tc>
              <w:tc>
                <w:tcPr>
                  <w:tcW w:w="20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+1</w:t>
                  </w:r>
                </w:p>
              </w:tc>
            </w:tr>
          </w:tbl>
          <w:p w:rsidR="002420A3" w:rsidRPr="00C744BB" w:rsidRDefault="002420A3" w:rsidP="00340583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2420A3" w:rsidRPr="00C744BB" w:rsidTr="00340583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0A3" w:rsidRPr="00C744BB" w:rsidRDefault="002420A3" w:rsidP="00340583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Индекс ожидаемых изменений экономической ситуации в России</w:t>
            </w:r>
          </w:p>
        </w:tc>
      </w:tr>
      <w:tr w:rsidR="002420A3" w:rsidRPr="00C744BB" w:rsidTr="00340583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0A3" w:rsidRPr="00C744BB" w:rsidRDefault="002420A3" w:rsidP="00340583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2420A3" w:rsidRPr="00C744BB" w:rsidTr="00340583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0A3" w:rsidRPr="00C744BB" w:rsidRDefault="002420A3" w:rsidP="00340583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в процентах</w:t>
            </w:r>
          </w:p>
        </w:tc>
      </w:tr>
      <w:tr w:rsidR="002420A3" w:rsidRPr="00C744BB" w:rsidTr="00340583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0A3" w:rsidRPr="00C744BB" w:rsidRDefault="002420A3" w:rsidP="00340583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2420A3" w:rsidRPr="00C744BB" w:rsidTr="00340583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964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731"/>
              <w:gridCol w:w="1779"/>
              <w:gridCol w:w="2207"/>
              <w:gridCol w:w="1932"/>
            </w:tblGrid>
            <w:tr w:rsidR="002420A3" w:rsidRPr="00C744BB" w:rsidTr="00340583">
              <w:trPr>
                <w:trHeight w:val="258"/>
              </w:trPr>
              <w:tc>
                <w:tcPr>
                  <w:tcW w:w="37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77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</w:rPr>
                    <w:t>II квартал </w:t>
                  </w: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</w:rPr>
                    <w:br/>
                    <w:t>2019 г.</w:t>
                  </w:r>
                </w:p>
              </w:tc>
              <w:tc>
                <w:tcPr>
                  <w:tcW w:w="220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</w:rPr>
                    <w:t>III квартал </w:t>
                  </w: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</w:rPr>
                    <w:br/>
                    <w:t>2019 г.</w:t>
                  </w:r>
                </w:p>
              </w:tc>
              <w:tc>
                <w:tcPr>
                  <w:tcW w:w="193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</w:rPr>
                    <w:t>III квартал 2019 г. ко </w:t>
                  </w: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</w:rPr>
                    <w:br/>
                    <w:t>II кварталу 2019 г</w:t>
                  </w:r>
                  <w:proofErr w:type="gramStart"/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</w:rPr>
                    <w:t>. (+,-)</w:t>
                  </w:r>
                  <w:proofErr w:type="gramEnd"/>
                </w:p>
              </w:tc>
            </w:tr>
            <w:tr w:rsidR="002420A3" w:rsidRPr="00C744BB" w:rsidTr="00340583">
              <w:trPr>
                <w:trHeight w:val="258"/>
              </w:trPr>
              <w:tc>
                <w:tcPr>
                  <w:tcW w:w="37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Молодое поколение </w:t>
                  </w: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br/>
                    <w:t> (в возрасте от 16 до 29 лет)</w:t>
                  </w:r>
                </w:p>
              </w:tc>
              <w:tc>
                <w:tcPr>
                  <w:tcW w:w="177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-8</w:t>
                  </w:r>
                </w:p>
              </w:tc>
              <w:tc>
                <w:tcPr>
                  <w:tcW w:w="220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-3</w:t>
                  </w:r>
                </w:p>
              </w:tc>
              <w:tc>
                <w:tcPr>
                  <w:tcW w:w="193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+5</w:t>
                  </w:r>
                </w:p>
              </w:tc>
            </w:tr>
            <w:tr w:rsidR="002420A3" w:rsidRPr="00C744BB" w:rsidTr="00340583">
              <w:trPr>
                <w:trHeight w:val="258"/>
              </w:trPr>
              <w:tc>
                <w:tcPr>
                  <w:tcW w:w="37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Лица среднего  возраста </w:t>
                  </w: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br/>
                    <w:t> (от 30 до 49 лет)</w:t>
                  </w:r>
                </w:p>
              </w:tc>
              <w:tc>
                <w:tcPr>
                  <w:tcW w:w="177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-10</w:t>
                  </w:r>
                </w:p>
              </w:tc>
              <w:tc>
                <w:tcPr>
                  <w:tcW w:w="220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-10</w:t>
                  </w:r>
                </w:p>
              </w:tc>
              <w:tc>
                <w:tcPr>
                  <w:tcW w:w="193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0</w:t>
                  </w:r>
                </w:p>
              </w:tc>
            </w:tr>
            <w:tr w:rsidR="002420A3" w:rsidRPr="00C744BB" w:rsidTr="00340583">
              <w:trPr>
                <w:trHeight w:val="258"/>
              </w:trPr>
              <w:tc>
                <w:tcPr>
                  <w:tcW w:w="37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Лица старшего возраста  </w:t>
                  </w: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br/>
                    <w:t> (50 лет и более)</w:t>
                  </w:r>
                </w:p>
              </w:tc>
              <w:tc>
                <w:tcPr>
                  <w:tcW w:w="177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-10</w:t>
                  </w:r>
                </w:p>
              </w:tc>
              <w:tc>
                <w:tcPr>
                  <w:tcW w:w="220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-10</w:t>
                  </w:r>
                </w:p>
              </w:tc>
              <w:tc>
                <w:tcPr>
                  <w:tcW w:w="193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0</w:t>
                  </w:r>
                </w:p>
              </w:tc>
            </w:tr>
          </w:tbl>
          <w:p w:rsidR="002420A3" w:rsidRPr="00C744BB" w:rsidRDefault="002420A3" w:rsidP="00340583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2420A3" w:rsidRPr="00C744BB" w:rsidTr="00340583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0A3" w:rsidRPr="00C744BB" w:rsidRDefault="002420A3" w:rsidP="00340583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Индекс потребительской уверенности в России и странах ЕС</w:t>
            </w:r>
            <w:proofErr w:type="gramStart"/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</w:rPr>
              <w:t>1</w:t>
            </w:r>
            <w:proofErr w:type="gramEnd"/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</w:rPr>
              <w:t>)</w:t>
            </w:r>
          </w:p>
        </w:tc>
      </w:tr>
      <w:tr w:rsidR="002420A3" w:rsidRPr="00C744BB" w:rsidTr="00340583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0A3" w:rsidRPr="00C744BB" w:rsidRDefault="002420A3" w:rsidP="00340583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2420A3" w:rsidRPr="00C744BB" w:rsidTr="00340583">
        <w:trPr>
          <w:gridAfter w:val="2"/>
          <w:wAfter w:w="277" w:type="dxa"/>
          <w:trHeight w:val="258"/>
        </w:trPr>
        <w:tc>
          <w:tcPr>
            <w:tcW w:w="956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4902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72"/>
              <w:gridCol w:w="1296"/>
              <w:gridCol w:w="1296"/>
              <w:gridCol w:w="1800"/>
              <w:gridCol w:w="1397"/>
              <w:gridCol w:w="1411"/>
            </w:tblGrid>
            <w:tr w:rsidR="002420A3" w:rsidRPr="00C744BB" w:rsidTr="00340583">
              <w:trPr>
                <w:trHeight w:val="258"/>
              </w:trPr>
              <w:tc>
                <w:tcPr>
                  <w:tcW w:w="207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</w:rPr>
                    <w:t>Май</w:t>
                  </w: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</w:rPr>
                    <w:br/>
                    <w:t>2019 г.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</w:rPr>
                    <w:t>Август</w:t>
                  </w: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</w:rPr>
                    <w:br/>
                    <w:t>2019 г.</w:t>
                  </w:r>
                </w:p>
              </w:tc>
              <w:tc>
                <w:tcPr>
                  <w:tcW w:w="18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3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</w:rPr>
                    <w:t>Май</w:t>
                  </w: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</w:rPr>
                    <w:br/>
                    <w:t>2019 г.</w:t>
                  </w:r>
                </w:p>
              </w:tc>
              <w:tc>
                <w:tcPr>
                  <w:tcW w:w="14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</w:rPr>
                    <w:t>Август</w:t>
                  </w: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</w:rPr>
                    <w:br/>
                    <w:t>2019 г.</w:t>
                  </w:r>
                </w:p>
              </w:tc>
            </w:tr>
            <w:tr w:rsidR="002420A3" w:rsidRPr="00C744BB" w:rsidTr="00340583">
              <w:trPr>
                <w:trHeight w:val="258"/>
              </w:trPr>
              <w:tc>
                <w:tcPr>
                  <w:tcW w:w="207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</w:rPr>
                    <w:t>Россия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</w:rPr>
                    <w:t>-14,6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</w:rPr>
                    <w:t>-12,9</w:t>
                  </w:r>
                </w:p>
              </w:tc>
              <w:tc>
                <w:tcPr>
                  <w:tcW w:w="18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3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2420A3" w:rsidRPr="00C744BB" w:rsidTr="00340583">
              <w:trPr>
                <w:trHeight w:val="258"/>
              </w:trPr>
              <w:tc>
                <w:tcPr>
                  <w:tcW w:w="207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Австрия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-2,0</w:t>
                  </w:r>
                </w:p>
              </w:tc>
              <w:tc>
                <w:tcPr>
                  <w:tcW w:w="18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Люксембург</w:t>
                  </w:r>
                </w:p>
              </w:tc>
              <w:tc>
                <w:tcPr>
                  <w:tcW w:w="13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0,3</w:t>
                  </w:r>
                </w:p>
              </w:tc>
              <w:tc>
                <w:tcPr>
                  <w:tcW w:w="14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-0,3</w:t>
                  </w:r>
                </w:p>
              </w:tc>
            </w:tr>
            <w:tr w:rsidR="002420A3" w:rsidRPr="00C744BB" w:rsidTr="00340583">
              <w:trPr>
                <w:trHeight w:val="258"/>
              </w:trPr>
              <w:tc>
                <w:tcPr>
                  <w:tcW w:w="207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Бельгия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-8,4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-11,4</w:t>
                  </w:r>
                </w:p>
              </w:tc>
              <w:tc>
                <w:tcPr>
                  <w:tcW w:w="18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Мальта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6,6</w:t>
                  </w:r>
                </w:p>
              </w:tc>
              <w:tc>
                <w:tcPr>
                  <w:tcW w:w="14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6,5</w:t>
                  </w:r>
                </w:p>
              </w:tc>
            </w:tr>
            <w:tr w:rsidR="002420A3" w:rsidRPr="00C744BB" w:rsidTr="00340583">
              <w:trPr>
                <w:trHeight w:val="258"/>
              </w:trPr>
              <w:tc>
                <w:tcPr>
                  <w:tcW w:w="207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Болгария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-25,5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-27,4</w:t>
                  </w:r>
                </w:p>
              </w:tc>
              <w:tc>
                <w:tcPr>
                  <w:tcW w:w="18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Нидерланды</w:t>
                  </w:r>
                </w:p>
              </w:tc>
              <w:tc>
                <w:tcPr>
                  <w:tcW w:w="13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-7,8</w:t>
                  </w:r>
                </w:p>
              </w:tc>
              <w:tc>
                <w:tcPr>
                  <w:tcW w:w="14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-7,8</w:t>
                  </w:r>
                </w:p>
              </w:tc>
            </w:tr>
            <w:tr w:rsidR="002420A3" w:rsidRPr="00C744BB" w:rsidTr="00340583">
              <w:trPr>
                <w:trHeight w:val="258"/>
              </w:trPr>
              <w:tc>
                <w:tcPr>
                  <w:tcW w:w="207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Великобритания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-8,3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-11,4</w:t>
                  </w:r>
                </w:p>
              </w:tc>
              <w:tc>
                <w:tcPr>
                  <w:tcW w:w="18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Польша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2,6</w:t>
                  </w:r>
                </w:p>
              </w:tc>
              <w:tc>
                <w:tcPr>
                  <w:tcW w:w="14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5,5</w:t>
                  </w:r>
                </w:p>
              </w:tc>
            </w:tr>
            <w:tr w:rsidR="002420A3" w:rsidRPr="00C744BB" w:rsidTr="00340583">
              <w:trPr>
                <w:trHeight w:val="258"/>
              </w:trPr>
              <w:tc>
                <w:tcPr>
                  <w:tcW w:w="207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Венгрия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-5,0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-2,1</w:t>
                  </w:r>
                </w:p>
              </w:tc>
              <w:tc>
                <w:tcPr>
                  <w:tcW w:w="18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Португалия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-9,7</w:t>
                  </w:r>
                </w:p>
              </w:tc>
              <w:tc>
                <w:tcPr>
                  <w:tcW w:w="14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-8,3</w:t>
                  </w:r>
                </w:p>
              </w:tc>
            </w:tr>
            <w:tr w:rsidR="002420A3" w:rsidRPr="00C744BB" w:rsidTr="00340583">
              <w:trPr>
                <w:trHeight w:val="258"/>
              </w:trPr>
              <w:tc>
                <w:tcPr>
                  <w:tcW w:w="207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Германия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-1,4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-3,9</w:t>
                  </w:r>
                </w:p>
              </w:tc>
              <w:tc>
                <w:tcPr>
                  <w:tcW w:w="18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Румыния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-9,9</w:t>
                  </w:r>
                </w:p>
              </w:tc>
              <w:tc>
                <w:tcPr>
                  <w:tcW w:w="14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-10,2</w:t>
                  </w:r>
                </w:p>
              </w:tc>
            </w:tr>
            <w:tr w:rsidR="002420A3" w:rsidRPr="00C744BB" w:rsidTr="00340583">
              <w:trPr>
                <w:trHeight w:val="258"/>
              </w:trPr>
              <w:tc>
                <w:tcPr>
                  <w:tcW w:w="207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lastRenderedPageBreak/>
                    <w:t>Греция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-29,5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-8,2</w:t>
                  </w:r>
                </w:p>
              </w:tc>
              <w:tc>
                <w:tcPr>
                  <w:tcW w:w="18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Словакия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-8,6</w:t>
                  </w:r>
                </w:p>
              </w:tc>
              <w:tc>
                <w:tcPr>
                  <w:tcW w:w="14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-8,7</w:t>
                  </w:r>
                </w:p>
              </w:tc>
            </w:tr>
            <w:tr w:rsidR="002420A3" w:rsidRPr="00C744BB" w:rsidTr="00340583">
              <w:trPr>
                <w:trHeight w:val="258"/>
              </w:trPr>
              <w:tc>
                <w:tcPr>
                  <w:tcW w:w="207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Дания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6,0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5,1</w:t>
                  </w:r>
                </w:p>
              </w:tc>
              <w:tc>
                <w:tcPr>
                  <w:tcW w:w="18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Словения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-7,9</w:t>
                  </w:r>
                </w:p>
              </w:tc>
              <w:tc>
                <w:tcPr>
                  <w:tcW w:w="14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-9,0</w:t>
                  </w:r>
                </w:p>
              </w:tc>
            </w:tr>
            <w:tr w:rsidR="002420A3" w:rsidRPr="00C744BB" w:rsidTr="00340583">
              <w:trPr>
                <w:trHeight w:val="258"/>
              </w:trPr>
              <w:tc>
                <w:tcPr>
                  <w:tcW w:w="207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Ирландия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3,2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-6,4</w:t>
                  </w:r>
                </w:p>
              </w:tc>
              <w:tc>
                <w:tcPr>
                  <w:tcW w:w="18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Финляндия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-2,7</w:t>
                  </w:r>
                </w:p>
              </w:tc>
              <w:tc>
                <w:tcPr>
                  <w:tcW w:w="14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-4,8</w:t>
                  </w:r>
                </w:p>
              </w:tc>
            </w:tr>
            <w:tr w:rsidR="002420A3" w:rsidRPr="00C744BB" w:rsidTr="00340583">
              <w:trPr>
                <w:trHeight w:val="258"/>
              </w:trPr>
              <w:tc>
                <w:tcPr>
                  <w:tcW w:w="207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Испания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-3,7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-6,2</w:t>
                  </w:r>
                </w:p>
              </w:tc>
              <w:tc>
                <w:tcPr>
                  <w:tcW w:w="18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Франция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-9,5</w:t>
                  </w:r>
                </w:p>
              </w:tc>
              <w:tc>
                <w:tcPr>
                  <w:tcW w:w="14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-7,7</w:t>
                  </w:r>
                </w:p>
              </w:tc>
            </w:tr>
            <w:tr w:rsidR="002420A3" w:rsidRPr="00C744BB" w:rsidTr="00340583">
              <w:trPr>
                <w:trHeight w:val="258"/>
              </w:trPr>
              <w:tc>
                <w:tcPr>
                  <w:tcW w:w="207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Италия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-12,1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-12,9</w:t>
                  </w:r>
                </w:p>
              </w:tc>
              <w:tc>
                <w:tcPr>
                  <w:tcW w:w="18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Хорватия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-2,4</w:t>
                  </w:r>
                </w:p>
              </w:tc>
              <w:tc>
                <w:tcPr>
                  <w:tcW w:w="14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-4,5</w:t>
                  </w:r>
                </w:p>
              </w:tc>
            </w:tr>
            <w:tr w:rsidR="002420A3" w:rsidRPr="00C744BB" w:rsidTr="00340583">
              <w:trPr>
                <w:trHeight w:val="258"/>
              </w:trPr>
              <w:tc>
                <w:tcPr>
                  <w:tcW w:w="207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Кипр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-8,8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-7,4</w:t>
                  </w:r>
                </w:p>
              </w:tc>
              <w:tc>
                <w:tcPr>
                  <w:tcW w:w="18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Чехия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0,1</w:t>
                  </w:r>
                </w:p>
              </w:tc>
              <w:tc>
                <w:tcPr>
                  <w:tcW w:w="14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2,0</w:t>
                  </w:r>
                </w:p>
              </w:tc>
            </w:tr>
            <w:tr w:rsidR="002420A3" w:rsidRPr="00C744BB" w:rsidTr="00340583">
              <w:trPr>
                <w:trHeight w:val="258"/>
              </w:trPr>
              <w:tc>
                <w:tcPr>
                  <w:tcW w:w="207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Латвия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-3,6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-3,6</w:t>
                  </w:r>
                </w:p>
              </w:tc>
              <w:tc>
                <w:tcPr>
                  <w:tcW w:w="18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Швеция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-2,0</w:t>
                  </w:r>
                </w:p>
              </w:tc>
              <w:tc>
                <w:tcPr>
                  <w:tcW w:w="14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-1,2</w:t>
                  </w:r>
                </w:p>
              </w:tc>
            </w:tr>
            <w:tr w:rsidR="002420A3" w:rsidRPr="00C744BB" w:rsidTr="00340583">
              <w:trPr>
                <w:trHeight w:val="258"/>
              </w:trPr>
              <w:tc>
                <w:tcPr>
                  <w:tcW w:w="207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Литва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6,3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7,1</w:t>
                  </w:r>
                </w:p>
              </w:tc>
              <w:tc>
                <w:tcPr>
                  <w:tcW w:w="18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Эстония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1,2</w:t>
                  </w:r>
                </w:p>
              </w:tc>
              <w:tc>
                <w:tcPr>
                  <w:tcW w:w="14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</w:rPr>
                    <w:t>2,9</w:t>
                  </w:r>
                </w:p>
              </w:tc>
            </w:tr>
            <w:tr w:rsidR="002420A3" w:rsidRPr="00C744BB" w:rsidTr="00340583">
              <w:trPr>
                <w:trHeight w:val="258"/>
              </w:trPr>
              <w:tc>
                <w:tcPr>
                  <w:tcW w:w="9271" w:type="dxa"/>
                  <w:gridSpan w:val="6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420A3" w:rsidRPr="00C744BB" w:rsidRDefault="002420A3" w:rsidP="00340583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</w:rPr>
                    <w:t xml:space="preserve">1) Источник информации: электронная база данных </w:t>
                  </w:r>
                  <w:proofErr w:type="spellStart"/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</w:rPr>
                    <w:t>Евростата</w:t>
                  </w:r>
                  <w:proofErr w:type="spellEnd"/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</w:rPr>
                    <w:t xml:space="preserve"> (по всем странам, кроме России).</w:t>
                  </w:r>
                </w:p>
              </w:tc>
            </w:tr>
          </w:tbl>
          <w:p w:rsidR="002420A3" w:rsidRPr="00C744BB" w:rsidRDefault="002420A3" w:rsidP="00340583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2420A3" w:rsidRPr="00C744BB" w:rsidTr="00340583">
        <w:trPr>
          <w:gridAfter w:val="1"/>
          <w:wAfter w:w="139" w:type="dxa"/>
          <w:trHeight w:val="401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0A3" w:rsidRPr="00C744BB" w:rsidRDefault="002420A3" w:rsidP="00340583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МЕТОДОЛОГИЧЕСКИЙ КОММЕНТАРИЙ</w:t>
            </w:r>
          </w:p>
        </w:tc>
      </w:tr>
      <w:tr w:rsidR="002420A3" w:rsidRPr="00C744BB" w:rsidTr="00340583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0A3" w:rsidRPr="00C744BB" w:rsidRDefault="002420A3" w:rsidP="00340583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2420A3" w:rsidRPr="00C744BB" w:rsidTr="00340583">
        <w:trPr>
          <w:trHeight w:val="258"/>
        </w:trPr>
        <w:tc>
          <w:tcPr>
            <w:tcW w:w="984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0A3" w:rsidRPr="00C744BB" w:rsidRDefault="002420A3" w:rsidP="00340583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Регулярные опросы потребительского поведения населения в России проводятся Росстатом с 1998 г. ежеквартально (в феврале, мае, августе и ноябре). С 2015 г. в опросе принимают участие 5,1 тыс. человек в возрасте 16 лет и старше, проживающих в частных домохозяйствах, во всех субъектах Российской Федерации.</w:t>
            </w:r>
          </w:p>
        </w:tc>
      </w:tr>
      <w:tr w:rsidR="002420A3" w:rsidRPr="00C744BB" w:rsidTr="00340583">
        <w:trPr>
          <w:trHeight w:val="258"/>
        </w:trPr>
        <w:tc>
          <w:tcPr>
            <w:tcW w:w="984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0A3" w:rsidRPr="00C744BB" w:rsidRDefault="002420A3" w:rsidP="00340583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44B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Анкета обследования</w:t>
            </w: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включает вопросы о субъективном мнении респондента об общей экономической ситуации и личном материальном положении, о ситуации на рынках товаров (услуг) и сбережений. Ответы респондентов распределяются по следующим вариантам:</w:t>
            </w:r>
          </w:p>
        </w:tc>
      </w:tr>
      <w:tr w:rsidR="002420A3" w:rsidRPr="00C744BB" w:rsidTr="00340583">
        <w:trPr>
          <w:trHeight w:val="968"/>
        </w:trPr>
        <w:tc>
          <w:tcPr>
            <w:tcW w:w="984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0A3" w:rsidRPr="00C744BB" w:rsidRDefault="002420A3" w:rsidP="00340583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– определенно положительные или определенно отрицательные (очень хорошее, очень благоприятное/очень плохое, совсем неблагоприятное);</w:t>
            </w:r>
          </w:p>
        </w:tc>
      </w:tr>
      <w:tr w:rsidR="002420A3" w:rsidRPr="00C744BB" w:rsidTr="00340583">
        <w:trPr>
          <w:trHeight w:val="968"/>
        </w:trPr>
        <w:tc>
          <w:tcPr>
            <w:tcW w:w="984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0A3" w:rsidRPr="00C744BB" w:rsidRDefault="002420A3" w:rsidP="00340583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– скорее положительные или скорее отрицательные (хорошее, скорее благоприятное/плохое, скорее неблагоприятное);</w:t>
            </w:r>
          </w:p>
        </w:tc>
      </w:tr>
      <w:tr w:rsidR="002420A3" w:rsidRPr="00C744BB" w:rsidTr="00340583">
        <w:trPr>
          <w:trHeight w:val="484"/>
        </w:trPr>
        <w:tc>
          <w:tcPr>
            <w:tcW w:w="984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0A3" w:rsidRPr="00C744BB" w:rsidRDefault="002420A3" w:rsidP="00340583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– нейтральные (среднее, «плюсов» и «минусов» одинаково).</w:t>
            </w:r>
          </w:p>
        </w:tc>
      </w:tr>
      <w:tr w:rsidR="002420A3" w:rsidRPr="00C744BB" w:rsidTr="00340583">
        <w:trPr>
          <w:trHeight w:val="968"/>
        </w:trPr>
        <w:tc>
          <w:tcPr>
            <w:tcW w:w="984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0A3" w:rsidRPr="00C744BB" w:rsidRDefault="002420A3" w:rsidP="00340583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Согласно методике Европейской Комиссии, рассчитываются значения частных индексов и обобщающего индекса потребительской уверенности населения.</w:t>
            </w:r>
          </w:p>
        </w:tc>
      </w:tr>
      <w:tr w:rsidR="002420A3" w:rsidRPr="00C744BB" w:rsidTr="00340583">
        <w:trPr>
          <w:trHeight w:val="968"/>
        </w:trPr>
        <w:tc>
          <w:tcPr>
            <w:tcW w:w="984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0A3" w:rsidRPr="00C744BB" w:rsidRDefault="002420A3" w:rsidP="00340583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Частные индексы  рассчитываются на основе сведения баланса оценок респондентов (в процентах) по соответствующему вопросу анкеты.</w:t>
            </w:r>
          </w:p>
        </w:tc>
      </w:tr>
      <w:tr w:rsidR="002420A3" w:rsidRPr="00C744BB" w:rsidTr="00340583">
        <w:trPr>
          <w:trHeight w:val="1292"/>
        </w:trPr>
        <w:tc>
          <w:tcPr>
            <w:tcW w:w="984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0A3" w:rsidRPr="00C744BB" w:rsidRDefault="002420A3" w:rsidP="00340583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44B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Баланс оценок</w:t>
            </w: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представляет собой разность между суммой долей (в процентах) определенно положительных и ½ скорее положительных ответов и суммой долей (в процентах) определенно отрицательных и ½ скорее отрицательных ответов. Нейтральные ответы не принимаются во внимание.</w:t>
            </w:r>
          </w:p>
        </w:tc>
      </w:tr>
      <w:tr w:rsidR="002420A3" w:rsidRPr="00C744BB" w:rsidTr="00340583">
        <w:trPr>
          <w:trHeight w:val="1661"/>
        </w:trPr>
        <w:tc>
          <w:tcPr>
            <w:tcW w:w="984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0A3" w:rsidRPr="00C744BB" w:rsidRDefault="002420A3" w:rsidP="00340583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Обобщающий (композитный) индекс – </w:t>
            </w:r>
            <w:r w:rsidRPr="00C744B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индекс потребительской уверенности</w:t>
            </w: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- рассчитывается как среднее арифметическое значение пяти частных индексов: произошедших и ожидаемых изменений личного материального положения (1 – 2), произошедших и ожидаемых изменений экономической ситуации в России (3 – 4), благоприятности условий для крупных покупок (5).</w:t>
            </w:r>
          </w:p>
        </w:tc>
      </w:tr>
      <w:tr w:rsidR="002420A3" w:rsidRPr="00C744BB" w:rsidTr="00340583">
        <w:trPr>
          <w:trHeight w:val="1935"/>
        </w:trPr>
        <w:tc>
          <w:tcPr>
            <w:tcW w:w="984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0A3" w:rsidRDefault="002420A3" w:rsidP="00340583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Полученная в результате обследования потребительских ожиданий населения информация может быть использована, наряду с количественными статистическими данными, для анализа поведенческой модели населения на потребительском рынке, а также при оценке влияния потребительской активности на состояние экономики в целом.</w:t>
            </w:r>
          </w:p>
          <w:p w:rsidR="002420A3" w:rsidRPr="00C744BB" w:rsidRDefault="002420A3" w:rsidP="00340583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E0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http://souz-potrebiteley.ru/main/news/</w:t>
            </w:r>
          </w:p>
        </w:tc>
      </w:tr>
    </w:tbl>
    <w:p w:rsidR="002420A3" w:rsidRDefault="002420A3" w:rsidP="002420A3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br w:type="page"/>
      </w:r>
    </w:p>
    <w:p w:rsidR="00175487" w:rsidRPr="002420A3" w:rsidRDefault="00175487" w:rsidP="002420A3"/>
    <w:sectPr w:rsidR="00175487" w:rsidRPr="002420A3" w:rsidSect="00A0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32E"/>
    <w:rsid w:val="00175487"/>
    <w:rsid w:val="002420A3"/>
    <w:rsid w:val="007F432E"/>
    <w:rsid w:val="00A0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1727</Words>
  <Characters>9850</Characters>
  <Application>Microsoft Office Word</Application>
  <DocSecurity>0</DocSecurity>
  <Lines>82</Lines>
  <Paragraphs>23</Paragraphs>
  <ScaleCrop>false</ScaleCrop>
  <Company>Home</Company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2019-11-22T12:14:00Z</dcterms:created>
  <dcterms:modified xsi:type="dcterms:W3CDTF">2019-11-22T12:17:00Z</dcterms:modified>
</cp:coreProperties>
</file>